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7EA9" w14:textId="7DB88252" w:rsidR="00883596" w:rsidRDefault="00C84C6B" w:rsidP="002A0C69">
      <w:pPr>
        <w:pStyle w:val="Heading1"/>
        <w:rPr>
          <w:rFonts w:cs="Arial"/>
          <w:bCs/>
          <w:snapToGrid w:val="0"/>
          <w:sz w:val="28"/>
          <w:lang w:val="en-US"/>
        </w:rPr>
      </w:pPr>
      <w:r>
        <w:rPr>
          <w:rFonts w:cs="Arial"/>
          <w:bCs/>
          <w:snapToGrid w:val="0"/>
          <w:sz w:val="28"/>
          <w:lang w:val="en-US"/>
        </w:rPr>
        <w:t>Procedure for dealing with a disclosure/concern about a child or Vulnerable adult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284"/>
        <w:gridCol w:w="5045"/>
      </w:tblGrid>
      <w:tr w:rsidR="00972805" w14:paraId="2B160C74" w14:textId="77777777" w:rsidTr="00FC332D">
        <w:tc>
          <w:tcPr>
            <w:tcW w:w="10406" w:type="dxa"/>
            <w:gridSpan w:val="3"/>
            <w:tcBorders>
              <w:top w:val="wave" w:sz="6" w:space="0" w:color="FF0000"/>
              <w:left w:val="wave" w:sz="6" w:space="0" w:color="FF0000"/>
              <w:bottom w:val="wave" w:sz="6" w:space="0" w:color="FF0000"/>
              <w:right w:val="wave" w:sz="6" w:space="0" w:color="FF0000"/>
            </w:tcBorders>
          </w:tcPr>
          <w:p w14:paraId="36F5139B" w14:textId="72FDF1A1" w:rsidR="00671B75" w:rsidRDefault="00972805" w:rsidP="00D95D47">
            <w:pPr>
              <w:jc w:val="center"/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</w:pPr>
            <w:r w:rsidRPr="00972805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 xml:space="preserve">If the matter is urgent because a child or adult </w:t>
            </w:r>
            <w:r w:rsidR="00505AA1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 xml:space="preserve">at risk </w:t>
            </w:r>
            <w:r w:rsidR="00224B7A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 xml:space="preserve">of harm </w:t>
            </w:r>
            <w:r w:rsidRPr="00972805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 xml:space="preserve">is in immediate danger </w:t>
            </w:r>
          </w:p>
          <w:p w14:paraId="2B670ACC" w14:textId="51B0A34B" w:rsidR="00972805" w:rsidRPr="00972805" w:rsidRDefault="007E757C" w:rsidP="00D95D47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>p</w:t>
            </w:r>
            <w:r w:rsidR="00972805" w:rsidRPr="00972805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>hone</w:t>
            </w:r>
            <w:r w:rsidR="00671B75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="00972805" w:rsidRPr="00972805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>999</w:t>
            </w:r>
            <w:r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 xml:space="preserve"> for the Police</w:t>
            </w:r>
            <w:r w:rsidR="00972805" w:rsidRPr="00972805">
              <w:rPr>
                <w:rFonts w:cs="Arial"/>
                <w:color w:val="FF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972805" w14:paraId="2841A3B5" w14:textId="77777777" w:rsidTr="00FC332D">
        <w:tc>
          <w:tcPr>
            <w:tcW w:w="5077" w:type="dxa"/>
            <w:tcBorders>
              <w:top w:val="wave" w:sz="6" w:space="0" w:color="FF0000"/>
              <w:left w:val="nil"/>
              <w:bottom w:val="single" w:sz="24" w:space="0" w:color="FF0000"/>
              <w:right w:val="nil"/>
            </w:tcBorders>
          </w:tcPr>
          <w:p w14:paraId="07E8778A" w14:textId="77777777" w:rsidR="00972805" w:rsidRDefault="00972805" w:rsidP="005133B8"/>
        </w:tc>
        <w:tc>
          <w:tcPr>
            <w:tcW w:w="284" w:type="dxa"/>
            <w:tcBorders>
              <w:top w:val="wave" w:sz="6" w:space="0" w:color="FF0000"/>
              <w:left w:val="nil"/>
              <w:bottom w:val="single" w:sz="24" w:space="0" w:color="FF0000"/>
              <w:right w:val="nil"/>
            </w:tcBorders>
          </w:tcPr>
          <w:p w14:paraId="7C3EA1DA" w14:textId="6E3DC3CC" w:rsidR="00972805" w:rsidRDefault="00972805" w:rsidP="005133B8"/>
        </w:tc>
        <w:tc>
          <w:tcPr>
            <w:tcW w:w="5045" w:type="dxa"/>
            <w:tcBorders>
              <w:top w:val="wave" w:sz="6" w:space="0" w:color="FF0000"/>
              <w:left w:val="nil"/>
              <w:bottom w:val="single" w:sz="24" w:space="0" w:color="FF0000"/>
              <w:right w:val="nil"/>
            </w:tcBorders>
          </w:tcPr>
          <w:p w14:paraId="09D4154B" w14:textId="77777777" w:rsidR="00972805" w:rsidRDefault="00972805" w:rsidP="005133B8"/>
        </w:tc>
      </w:tr>
      <w:tr w:rsidR="00972805" w14:paraId="01EA7E2B" w14:textId="77777777" w:rsidTr="00FC332D">
        <w:tc>
          <w:tcPr>
            <w:tcW w:w="10406" w:type="dxa"/>
            <w:gridSpan w:val="3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4DF19F54" w14:textId="707F8AB5" w:rsidR="00972805" w:rsidRPr="007E757C" w:rsidRDefault="002A0C69" w:rsidP="00972805">
            <w:pPr>
              <w:pStyle w:val="Heading9"/>
              <w:ind w:firstLine="567"/>
              <w:jc w:val="center"/>
              <w:rPr>
                <w:rFonts w:cs="Arial"/>
                <w:sz w:val="24"/>
                <w:szCs w:val="24"/>
              </w:rPr>
            </w:pPr>
            <w:r w:rsidRPr="007E757C">
              <w:rPr>
                <w:rFonts w:cs="Arial"/>
                <w:sz w:val="24"/>
                <w:szCs w:val="24"/>
              </w:rPr>
              <w:t xml:space="preserve">See it. </w:t>
            </w:r>
          </w:p>
          <w:p w14:paraId="4A912468" w14:textId="47574A75" w:rsidR="00972805" w:rsidRDefault="002A0C69" w:rsidP="002A0C69">
            <w:pPr>
              <w:pStyle w:val="Heading9"/>
              <w:ind w:left="176"/>
              <w:jc w:val="center"/>
              <w:rPr>
                <w:rFonts w:cs="Arial"/>
                <w:b w:val="0"/>
                <w:szCs w:val="22"/>
                <w:u w:val="none"/>
              </w:rPr>
            </w:pPr>
            <w:r w:rsidRPr="006E4350">
              <w:rPr>
                <w:rFonts w:cs="Arial"/>
                <w:b w:val="0"/>
                <w:szCs w:val="22"/>
                <w:u w:val="none"/>
              </w:rPr>
              <w:t>Are they safe?</w:t>
            </w:r>
            <w:r w:rsidR="00DD2A20">
              <w:rPr>
                <w:rFonts w:cs="Arial"/>
                <w:b w:val="0"/>
                <w:szCs w:val="22"/>
                <w:u w:val="none"/>
              </w:rPr>
              <w:t xml:space="preserve"> If you are concerned </w:t>
            </w:r>
            <w:r w:rsidR="002F6F1B">
              <w:rPr>
                <w:rFonts w:cs="Arial"/>
                <w:b w:val="0"/>
                <w:szCs w:val="22"/>
                <w:u w:val="none"/>
              </w:rPr>
              <w:t xml:space="preserve">about a child or </w:t>
            </w:r>
            <w:r w:rsidR="00BA7D20">
              <w:rPr>
                <w:rFonts w:cs="Arial"/>
                <w:b w:val="0"/>
                <w:szCs w:val="22"/>
                <w:u w:val="none"/>
              </w:rPr>
              <w:t>a</w:t>
            </w:r>
            <w:r w:rsidR="002F6F1B">
              <w:rPr>
                <w:rFonts w:cs="Arial"/>
                <w:b w:val="0"/>
                <w:szCs w:val="22"/>
                <w:u w:val="none"/>
              </w:rPr>
              <w:t xml:space="preserve">dult at </w:t>
            </w:r>
            <w:r w:rsidR="00BA7D20">
              <w:rPr>
                <w:rFonts w:cs="Arial"/>
                <w:b w:val="0"/>
                <w:szCs w:val="22"/>
                <w:u w:val="none"/>
              </w:rPr>
              <w:t>r</w:t>
            </w:r>
            <w:r w:rsidR="002F6F1B">
              <w:rPr>
                <w:rFonts w:cs="Arial"/>
                <w:b w:val="0"/>
                <w:szCs w:val="22"/>
                <w:u w:val="none"/>
              </w:rPr>
              <w:t xml:space="preserve">isk of </w:t>
            </w:r>
            <w:r w:rsidR="00BA7D20">
              <w:rPr>
                <w:rFonts w:cs="Arial"/>
                <w:b w:val="0"/>
                <w:szCs w:val="22"/>
                <w:u w:val="none"/>
              </w:rPr>
              <w:t>h</w:t>
            </w:r>
            <w:r w:rsidR="002F6F1B">
              <w:rPr>
                <w:rFonts w:cs="Arial"/>
                <w:b w:val="0"/>
                <w:szCs w:val="22"/>
                <w:u w:val="none"/>
              </w:rPr>
              <w:t>arm</w:t>
            </w:r>
            <w:r w:rsidR="00BA7D20">
              <w:rPr>
                <w:rFonts w:cs="Arial"/>
                <w:b w:val="0"/>
                <w:szCs w:val="22"/>
                <w:u w:val="none"/>
              </w:rPr>
              <w:t xml:space="preserve">, you must </w:t>
            </w:r>
            <w:r w:rsidR="0024497D">
              <w:rPr>
                <w:rFonts w:cs="Arial"/>
                <w:b w:val="0"/>
                <w:szCs w:val="22"/>
                <w:u w:val="none"/>
              </w:rPr>
              <w:t>f</w:t>
            </w:r>
            <w:r w:rsidR="003645A1">
              <w:rPr>
                <w:rFonts w:cs="Arial"/>
                <w:b w:val="0"/>
                <w:szCs w:val="22"/>
                <w:u w:val="none"/>
              </w:rPr>
              <w:t xml:space="preserve">ollow the </w:t>
            </w:r>
            <w:r w:rsidR="0024497D">
              <w:rPr>
                <w:rFonts w:cs="Arial"/>
                <w:b w:val="0"/>
                <w:szCs w:val="22"/>
                <w:u w:val="none"/>
              </w:rPr>
              <w:t xml:space="preserve">safeguarding </w:t>
            </w:r>
            <w:r w:rsidR="003645A1">
              <w:rPr>
                <w:rFonts w:cs="Arial"/>
                <w:b w:val="0"/>
                <w:szCs w:val="22"/>
                <w:u w:val="none"/>
              </w:rPr>
              <w:t>policy and procedure</w:t>
            </w:r>
            <w:r w:rsidR="0024497D">
              <w:rPr>
                <w:rFonts w:cs="Arial"/>
                <w:b w:val="0"/>
                <w:szCs w:val="22"/>
                <w:u w:val="none"/>
              </w:rPr>
              <w:t xml:space="preserve"> (use</w:t>
            </w:r>
            <w:r w:rsidR="000F3A42">
              <w:rPr>
                <w:rFonts w:cs="Arial"/>
                <w:b w:val="0"/>
                <w:szCs w:val="22"/>
                <w:u w:val="none"/>
              </w:rPr>
              <w:t xml:space="preserve"> </w:t>
            </w:r>
            <w:r w:rsidR="0024497D">
              <w:rPr>
                <w:rFonts w:cs="Arial"/>
                <w:b w:val="0"/>
                <w:szCs w:val="22"/>
                <w:u w:val="none"/>
              </w:rPr>
              <w:t>this flowchart)</w:t>
            </w:r>
            <w:r w:rsidR="00972805" w:rsidRPr="006E4350">
              <w:rPr>
                <w:rFonts w:cs="Arial"/>
                <w:b w:val="0"/>
                <w:szCs w:val="22"/>
                <w:u w:val="none"/>
              </w:rPr>
              <w:t xml:space="preserve"> </w:t>
            </w:r>
          </w:p>
          <w:p w14:paraId="3853CCF4" w14:textId="5CF891A3" w:rsidR="00972805" w:rsidRPr="00076ECC" w:rsidRDefault="000741EC" w:rsidP="000741EC">
            <w:pPr>
              <w:pStyle w:val="Heading9"/>
              <w:ind w:left="0"/>
              <w:jc w:val="center"/>
              <w:rPr>
                <w:rFonts w:cs="Arial"/>
                <w:szCs w:val="22"/>
                <w:u w:val="none"/>
              </w:rPr>
            </w:pPr>
            <w:r w:rsidRPr="00076ECC">
              <w:rPr>
                <w:rFonts w:cs="Arial"/>
                <w:b w:val="0"/>
                <w:color w:val="FF0000"/>
                <w:szCs w:val="22"/>
                <w:u w:val="none"/>
              </w:rPr>
              <w:t>It is not your responsibility to decide if abuse has happened. It IS your responsibility to report it to the Safeguarding Lead and/ or appropriate authority</w:t>
            </w:r>
          </w:p>
        </w:tc>
      </w:tr>
      <w:tr w:rsidR="00972805" w14:paraId="457CAC74" w14:textId="77777777" w:rsidTr="00FC332D">
        <w:tc>
          <w:tcPr>
            <w:tcW w:w="5077" w:type="dxa"/>
            <w:tcBorders>
              <w:top w:val="single" w:sz="24" w:space="0" w:color="FF0000"/>
              <w:left w:val="nil"/>
              <w:bottom w:val="single" w:sz="24" w:space="0" w:color="FFC000"/>
              <w:right w:val="nil"/>
            </w:tcBorders>
          </w:tcPr>
          <w:p w14:paraId="1BF6DCB7" w14:textId="518EDDE1" w:rsidR="00972805" w:rsidRPr="006E4350" w:rsidRDefault="00001507" w:rsidP="005133B8">
            <w:pPr>
              <w:rPr>
                <w:rFonts w:cs="Arial"/>
                <w:szCs w:val="22"/>
              </w:rPr>
            </w:pPr>
            <w:r w:rsidRPr="006E4350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5805338" wp14:editId="4B805F13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6985</wp:posOffset>
                      </wp:positionV>
                      <wp:extent cx="160020" cy="144780"/>
                      <wp:effectExtent l="19050" t="0" r="11430" b="45720"/>
                      <wp:wrapNone/>
                      <wp:docPr id="21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349A2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1" o:spid="_x0000_s1026" type="#_x0000_t67" style="position:absolute;margin-left:249.1pt;margin-top:.55pt;width:12.6pt;height:11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" adj="10800" fillcolor="#00b050" strokecolor="#1f3763 [1604]" strokeweight="1pt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24" w:space="0" w:color="FF0000"/>
              <w:left w:val="nil"/>
              <w:bottom w:val="single" w:sz="24" w:space="0" w:color="FFC000"/>
              <w:right w:val="nil"/>
            </w:tcBorders>
          </w:tcPr>
          <w:p w14:paraId="687E0896" w14:textId="2CD3B9E2" w:rsidR="00972805" w:rsidRPr="006E4350" w:rsidRDefault="00972805" w:rsidP="005133B8">
            <w:pPr>
              <w:rPr>
                <w:rFonts w:cs="Arial"/>
                <w:szCs w:val="22"/>
              </w:rPr>
            </w:pPr>
          </w:p>
        </w:tc>
        <w:tc>
          <w:tcPr>
            <w:tcW w:w="5045" w:type="dxa"/>
            <w:tcBorders>
              <w:top w:val="single" w:sz="24" w:space="0" w:color="FF0000"/>
              <w:left w:val="nil"/>
              <w:bottom w:val="single" w:sz="24" w:space="0" w:color="FFC000"/>
              <w:right w:val="nil"/>
            </w:tcBorders>
          </w:tcPr>
          <w:p w14:paraId="461C4480" w14:textId="77777777" w:rsidR="00972805" w:rsidRPr="006E4350" w:rsidRDefault="00972805" w:rsidP="005133B8">
            <w:pPr>
              <w:rPr>
                <w:rFonts w:cs="Arial"/>
                <w:szCs w:val="22"/>
              </w:rPr>
            </w:pPr>
          </w:p>
        </w:tc>
      </w:tr>
      <w:tr w:rsidR="00972805" w14:paraId="6C1EB87F" w14:textId="77777777" w:rsidTr="00FC332D">
        <w:tc>
          <w:tcPr>
            <w:tcW w:w="10406" w:type="dxa"/>
            <w:gridSpan w:val="3"/>
            <w:tcBorders>
              <w:left w:val="single" w:sz="24" w:space="0" w:color="FFC000"/>
              <w:bottom w:val="single" w:sz="18" w:space="0" w:color="FFC000"/>
              <w:right w:val="single" w:sz="24" w:space="0" w:color="FFC000"/>
            </w:tcBorders>
          </w:tcPr>
          <w:p w14:paraId="04A3FAD8" w14:textId="52C92C1C" w:rsidR="00972805" w:rsidRPr="007E757C" w:rsidRDefault="002A0C69" w:rsidP="00972805">
            <w:pPr>
              <w:pStyle w:val="Heading9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7E757C">
              <w:rPr>
                <w:rFonts w:cs="Arial"/>
                <w:sz w:val="24"/>
                <w:szCs w:val="24"/>
              </w:rPr>
              <w:t>Recognise it.</w:t>
            </w:r>
          </w:p>
          <w:p w14:paraId="604F29E9" w14:textId="7EDB2A79" w:rsidR="00C84C6B" w:rsidRDefault="00C84C6B" w:rsidP="00C84C6B">
            <w:pPr>
              <w:pStyle w:val="Heading9"/>
              <w:ind w:left="0"/>
              <w:jc w:val="left"/>
              <w:rPr>
                <w:rFonts w:cs="Arial"/>
                <w:b w:val="0"/>
                <w:szCs w:val="22"/>
                <w:u w:val="none"/>
              </w:rPr>
            </w:pPr>
            <w:r>
              <w:rPr>
                <w:rFonts w:cs="Arial"/>
                <w:b w:val="0"/>
                <w:szCs w:val="22"/>
                <w:u w:val="none"/>
              </w:rPr>
              <w:t>When working in education settings</w:t>
            </w:r>
            <w:r w:rsidR="00FC332D">
              <w:rPr>
                <w:rFonts w:cs="Arial"/>
                <w:b w:val="0"/>
                <w:szCs w:val="22"/>
                <w:u w:val="none"/>
              </w:rPr>
              <w:t>/sports clubs</w:t>
            </w:r>
            <w:r>
              <w:rPr>
                <w:rFonts w:cs="Arial"/>
                <w:b w:val="0"/>
                <w:szCs w:val="22"/>
                <w:u w:val="none"/>
              </w:rPr>
              <w:t xml:space="preserve"> </w:t>
            </w:r>
          </w:p>
          <w:p w14:paraId="048DF66F" w14:textId="25F4CFB7" w:rsidR="00C84C6B" w:rsidRDefault="00C84C6B" w:rsidP="00C84C6B">
            <w:pPr>
              <w:pStyle w:val="Heading9"/>
              <w:numPr>
                <w:ilvl w:val="0"/>
                <w:numId w:val="4"/>
              </w:numPr>
              <w:jc w:val="left"/>
              <w:rPr>
                <w:rFonts w:cs="Arial"/>
                <w:b w:val="0"/>
                <w:szCs w:val="22"/>
                <w:u w:val="none"/>
              </w:rPr>
            </w:pPr>
            <w:r>
              <w:rPr>
                <w:rFonts w:cs="Arial"/>
                <w:b w:val="0"/>
                <w:szCs w:val="22"/>
                <w:u w:val="none"/>
              </w:rPr>
              <w:t>S</w:t>
            </w:r>
            <w:r w:rsidR="00972805" w:rsidRPr="006E4350">
              <w:rPr>
                <w:rFonts w:cs="Arial"/>
                <w:b w:val="0"/>
                <w:szCs w:val="22"/>
                <w:u w:val="none"/>
              </w:rPr>
              <w:t>hare your concerns/ information with the</w:t>
            </w:r>
            <w:r>
              <w:rPr>
                <w:rFonts w:cs="Arial"/>
                <w:b w:val="0"/>
                <w:szCs w:val="22"/>
                <w:u w:val="none"/>
              </w:rPr>
              <w:t xml:space="preserve"> school/college Designated Safeguarding Lead. </w:t>
            </w:r>
            <w:r w:rsidR="00F630E2">
              <w:rPr>
                <w:rFonts w:cs="Arial"/>
                <w:b w:val="0"/>
                <w:szCs w:val="22"/>
                <w:u w:val="none"/>
              </w:rPr>
              <w:t>Follow</w:t>
            </w:r>
            <w:r>
              <w:rPr>
                <w:rFonts w:cs="Arial"/>
                <w:b w:val="0"/>
                <w:szCs w:val="22"/>
                <w:u w:val="none"/>
              </w:rPr>
              <w:t xml:space="preserve"> the establishment’s protocols for recording any concerns as requested. </w:t>
            </w:r>
          </w:p>
          <w:p w14:paraId="21DAF1F5" w14:textId="44541316" w:rsidR="00972805" w:rsidRDefault="00F630E2" w:rsidP="00F55BA5">
            <w:pPr>
              <w:pStyle w:val="Heading9"/>
              <w:numPr>
                <w:ilvl w:val="0"/>
                <w:numId w:val="3"/>
              </w:numPr>
              <w:jc w:val="left"/>
              <w:rPr>
                <w:rFonts w:cs="Arial"/>
                <w:b w:val="0"/>
                <w:szCs w:val="22"/>
                <w:u w:val="none"/>
              </w:rPr>
            </w:pPr>
            <w:r>
              <w:rPr>
                <w:rFonts w:cs="Arial"/>
                <w:b w:val="0"/>
                <w:szCs w:val="22"/>
                <w:u w:val="none"/>
              </w:rPr>
              <w:t>Notify the AMT D</w:t>
            </w:r>
            <w:r w:rsidR="00C84C6B">
              <w:rPr>
                <w:rFonts w:cs="Arial"/>
                <w:b w:val="0"/>
                <w:szCs w:val="22"/>
                <w:u w:val="none"/>
              </w:rPr>
              <w:t>esignated Safeguarding Lead (Steph Matthews)</w:t>
            </w:r>
            <w:r>
              <w:rPr>
                <w:rFonts w:cs="Arial"/>
                <w:b w:val="0"/>
                <w:szCs w:val="22"/>
                <w:u w:val="none"/>
              </w:rPr>
              <w:t>.</w:t>
            </w:r>
          </w:p>
          <w:p w14:paraId="1E168FC9" w14:textId="77777777" w:rsidR="00C84C6B" w:rsidRDefault="00C84C6B" w:rsidP="00C84C6B"/>
          <w:p w14:paraId="4D9385C4" w14:textId="2F5DE77E" w:rsidR="00C84C6B" w:rsidRPr="00C84C6B" w:rsidRDefault="00C84C6B" w:rsidP="00C84C6B">
            <w:r>
              <w:t>For children (under the age of 18):</w:t>
            </w:r>
          </w:p>
          <w:p w14:paraId="2EB0B789" w14:textId="77777777" w:rsidR="00C84C6B" w:rsidRPr="00C84C6B" w:rsidRDefault="001C55E4" w:rsidP="00F55BA5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0D1963">
              <w:rPr>
                <w:rFonts w:cs="Arial"/>
                <w:szCs w:val="22"/>
                <w:shd w:val="clear" w:color="auto" w:fill="FFFFFF"/>
              </w:rPr>
              <w:t xml:space="preserve">If you need to discuss </w:t>
            </w:r>
            <w:proofErr w:type="gramStart"/>
            <w:r w:rsidRPr="000D1963">
              <w:rPr>
                <w:rFonts w:cs="Arial"/>
                <w:szCs w:val="22"/>
                <w:shd w:val="clear" w:color="auto" w:fill="FFFFFF"/>
              </w:rPr>
              <w:t>whether or not</w:t>
            </w:r>
            <w:proofErr w:type="gramEnd"/>
            <w:r w:rsidRPr="000D1963">
              <w:rPr>
                <w:rFonts w:cs="Arial"/>
                <w:szCs w:val="22"/>
                <w:shd w:val="clear" w:color="auto" w:fill="FFFFFF"/>
              </w:rPr>
              <w:t xml:space="preserve"> a referral is required, call the </w:t>
            </w:r>
            <w:r w:rsidR="00C84C6B">
              <w:rPr>
                <w:rFonts w:cs="Arial"/>
                <w:szCs w:val="22"/>
                <w:shd w:val="clear" w:color="auto" w:fill="FFFFFF"/>
              </w:rPr>
              <w:t>Gloucestershire Children and Families Front Door Service on 01452 426565</w:t>
            </w:r>
            <w:r w:rsidRPr="000D1963">
              <w:rPr>
                <w:rFonts w:cs="Arial"/>
                <w:szCs w:val="22"/>
                <w:shd w:val="clear" w:color="auto" w:fill="FFFFFF"/>
              </w:rPr>
              <w:t xml:space="preserve"> to speak with a MASH social worker</w:t>
            </w:r>
            <w:r w:rsidR="00C84C6B">
              <w:rPr>
                <w:rFonts w:cs="Arial"/>
                <w:szCs w:val="22"/>
                <w:shd w:val="clear" w:color="auto" w:fill="FFFFFF"/>
              </w:rPr>
              <w:t xml:space="preserve">. </w:t>
            </w:r>
          </w:p>
          <w:p w14:paraId="0F9C382F" w14:textId="1E8F50B8" w:rsidR="001C55E4" w:rsidRPr="00FC332D" w:rsidRDefault="00C84C6B" w:rsidP="00F55BA5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hyperlink r:id="rId5" w:history="1">
              <w:r w:rsidRPr="000E5796">
                <w:rPr>
                  <w:rStyle w:val="Hyperlink"/>
                  <w:rFonts w:cs="Arial"/>
                  <w:szCs w:val="22"/>
                  <w:shd w:val="clear" w:color="auto" w:fill="FFFFFF"/>
                </w:rPr>
                <w:t>https://www.gloucestershire.gov.uk/health-and-social-care/children-young-people-and-families/report-a-child-at-risk/</w:t>
              </w:r>
            </w:hyperlink>
            <w:r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1C55E4" w:rsidRPr="000D1963">
              <w:rPr>
                <w:rFonts w:cs="Arial"/>
                <w:szCs w:val="22"/>
                <w:shd w:val="clear" w:color="auto" w:fill="FFFFFF"/>
              </w:rPr>
              <w:t xml:space="preserve"> </w:t>
            </w:r>
          </w:p>
          <w:p w14:paraId="4493527C" w14:textId="77777777" w:rsidR="00FC332D" w:rsidRDefault="00FC332D" w:rsidP="00FC332D">
            <w:pPr>
              <w:rPr>
                <w:rFonts w:cs="Arial"/>
                <w:szCs w:val="22"/>
              </w:rPr>
            </w:pPr>
          </w:p>
          <w:p w14:paraId="4951E46A" w14:textId="5D02FD34" w:rsidR="00FC332D" w:rsidRDefault="00FC332D" w:rsidP="00FC33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adults:</w:t>
            </w:r>
          </w:p>
          <w:p w14:paraId="04440C87" w14:textId="0ECD3F25" w:rsidR="00FC332D" w:rsidRDefault="00FC332D" w:rsidP="00FC332D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Call the Gloucestershire Safeguarding Adults Board Help Desk on 01452 426868.</w:t>
            </w:r>
          </w:p>
          <w:p w14:paraId="4C2FB73E" w14:textId="77777777" w:rsidR="00FC332D" w:rsidRPr="00FC332D" w:rsidRDefault="00FC332D" w:rsidP="00FC332D">
            <w:pPr>
              <w:pStyle w:val="ListParagraph"/>
              <w:rPr>
                <w:rFonts w:cs="Arial"/>
                <w:b/>
                <w:bCs/>
                <w:color w:val="FF0000"/>
                <w:szCs w:val="22"/>
              </w:rPr>
            </w:pPr>
          </w:p>
          <w:p w14:paraId="3511A8A2" w14:textId="3F988EE8" w:rsidR="002D29B5" w:rsidRPr="00FC332D" w:rsidRDefault="002D29B5" w:rsidP="00FC332D">
            <w:pPr>
              <w:rPr>
                <w:rFonts w:cs="Arial"/>
                <w:b/>
                <w:bCs/>
                <w:color w:val="FF0000"/>
                <w:szCs w:val="22"/>
              </w:rPr>
            </w:pPr>
            <w:r w:rsidRPr="00FC332D">
              <w:rPr>
                <w:rFonts w:cs="Arial"/>
                <w:b/>
                <w:bCs/>
                <w:color w:val="FF0000"/>
                <w:szCs w:val="22"/>
              </w:rPr>
              <w:t>I</w:t>
            </w:r>
            <w:r w:rsidR="00BE1BD1" w:rsidRPr="00FC332D">
              <w:rPr>
                <w:rFonts w:cs="Arial"/>
                <w:b/>
                <w:bCs/>
                <w:color w:val="FF0000"/>
                <w:szCs w:val="22"/>
              </w:rPr>
              <w:t xml:space="preserve">f there is immediate danger to the child or </w:t>
            </w:r>
            <w:r w:rsidR="008C532E" w:rsidRPr="00FC332D">
              <w:rPr>
                <w:rFonts w:cs="Arial"/>
                <w:b/>
                <w:bCs/>
                <w:color w:val="FF0000"/>
                <w:szCs w:val="22"/>
              </w:rPr>
              <w:t>A</w:t>
            </w:r>
            <w:r w:rsidR="00BE1BD1" w:rsidRPr="00FC332D">
              <w:rPr>
                <w:rFonts w:cs="Arial"/>
                <w:b/>
                <w:bCs/>
                <w:color w:val="FF0000"/>
                <w:szCs w:val="22"/>
              </w:rPr>
              <w:t xml:space="preserve">dult at </w:t>
            </w:r>
            <w:r w:rsidR="008C532E" w:rsidRPr="00FC332D">
              <w:rPr>
                <w:rFonts w:cs="Arial"/>
                <w:b/>
                <w:bCs/>
                <w:color w:val="FF0000"/>
                <w:szCs w:val="22"/>
              </w:rPr>
              <w:t>R</w:t>
            </w:r>
            <w:r w:rsidR="00BE1BD1" w:rsidRPr="00FC332D">
              <w:rPr>
                <w:rFonts w:cs="Arial"/>
                <w:b/>
                <w:bCs/>
                <w:color w:val="FF0000"/>
                <w:szCs w:val="22"/>
              </w:rPr>
              <w:t xml:space="preserve">isk call 999 </w:t>
            </w:r>
            <w:r w:rsidR="000741EC" w:rsidRPr="00FC332D">
              <w:rPr>
                <w:rFonts w:cs="Arial"/>
                <w:b/>
                <w:bCs/>
                <w:color w:val="FF0000"/>
                <w:szCs w:val="22"/>
              </w:rPr>
              <w:t>for the Police.</w:t>
            </w:r>
          </w:p>
          <w:p w14:paraId="39437650" w14:textId="77777777" w:rsidR="00972805" w:rsidRPr="006E4350" w:rsidRDefault="00972805" w:rsidP="000741EC">
            <w:pPr>
              <w:pStyle w:val="Heading9"/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972805" w14:paraId="134705A8" w14:textId="77777777" w:rsidTr="00FC332D">
        <w:tc>
          <w:tcPr>
            <w:tcW w:w="5077" w:type="dxa"/>
            <w:tcBorders>
              <w:top w:val="single" w:sz="24" w:space="0" w:color="FFC000"/>
              <w:left w:val="nil"/>
              <w:bottom w:val="single" w:sz="24" w:space="0" w:color="00B050"/>
              <w:right w:val="nil"/>
            </w:tcBorders>
          </w:tcPr>
          <w:p w14:paraId="7198CD61" w14:textId="77777777" w:rsidR="00972805" w:rsidRPr="006E4350" w:rsidRDefault="00972805" w:rsidP="005133B8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single" w:sz="24" w:space="0" w:color="FFC000"/>
              <w:left w:val="nil"/>
              <w:bottom w:val="single" w:sz="24" w:space="0" w:color="00B050"/>
              <w:right w:val="nil"/>
            </w:tcBorders>
          </w:tcPr>
          <w:p w14:paraId="0E0BFC26" w14:textId="64787168" w:rsidR="00972805" w:rsidRPr="006E4350" w:rsidRDefault="004468E3" w:rsidP="005133B8">
            <w:pPr>
              <w:rPr>
                <w:rFonts w:cs="Arial"/>
                <w:szCs w:val="22"/>
              </w:rPr>
            </w:pPr>
            <w:r w:rsidRPr="006E4350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A38934" wp14:editId="5672012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6985</wp:posOffset>
                      </wp:positionV>
                      <wp:extent cx="160020" cy="144780"/>
                      <wp:effectExtent l="19050" t="0" r="11430" b="45720"/>
                      <wp:wrapNone/>
                      <wp:docPr id="22" name="Arrow: Dow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E4CC6" id="Arrow: Down 22" o:spid="_x0000_s1026" type="#_x0000_t67" style="position:absolute;margin-left:-5.2pt;margin-top:.55pt;width:12.6pt;height:1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" adj="10800" fillcolor="#00b050" strokecolor="#1f3763 [1604]" strokeweight="1pt"/>
                  </w:pict>
                </mc:Fallback>
              </mc:AlternateContent>
            </w:r>
          </w:p>
        </w:tc>
        <w:tc>
          <w:tcPr>
            <w:tcW w:w="5045" w:type="dxa"/>
            <w:tcBorders>
              <w:top w:val="single" w:sz="24" w:space="0" w:color="FFC000"/>
              <w:left w:val="nil"/>
              <w:bottom w:val="single" w:sz="24" w:space="0" w:color="00B050"/>
              <w:right w:val="nil"/>
            </w:tcBorders>
          </w:tcPr>
          <w:p w14:paraId="7CD505A8" w14:textId="77777777" w:rsidR="00972805" w:rsidRPr="006E4350" w:rsidRDefault="00972805" w:rsidP="005133B8">
            <w:pPr>
              <w:rPr>
                <w:rFonts w:cs="Arial"/>
                <w:szCs w:val="22"/>
              </w:rPr>
            </w:pPr>
          </w:p>
        </w:tc>
      </w:tr>
      <w:tr w:rsidR="002A0C69" w14:paraId="09DFEB9F" w14:textId="77777777" w:rsidTr="00FC332D">
        <w:tc>
          <w:tcPr>
            <w:tcW w:w="10406" w:type="dxa"/>
            <w:gridSpan w:val="3"/>
            <w:tcBorders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</w:tcPr>
          <w:p w14:paraId="6D393C58" w14:textId="7C77BAEE" w:rsidR="002A0C69" w:rsidRPr="00FC332D" w:rsidRDefault="002A0C69" w:rsidP="002A0C69">
            <w:pPr>
              <w:jc w:val="center"/>
              <w:rPr>
                <w:rFonts w:cs="Arial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FC332D">
              <w:rPr>
                <w:rFonts w:cs="Arial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Report </w:t>
            </w:r>
            <w:proofErr w:type="gramStart"/>
            <w:r w:rsidRPr="00FC332D">
              <w:rPr>
                <w:rFonts w:cs="Arial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it</w:t>
            </w:r>
            <w:proofErr w:type="gramEnd"/>
          </w:p>
          <w:p w14:paraId="2BB2EAA1" w14:textId="124AA169" w:rsidR="002A0C69" w:rsidRPr="006E4350" w:rsidRDefault="002A0C69" w:rsidP="002A0C69">
            <w:pPr>
              <w:jc w:val="center"/>
              <w:rPr>
                <w:rFonts w:cs="Arial"/>
                <w:szCs w:val="22"/>
              </w:rPr>
            </w:pPr>
            <w:r w:rsidRPr="006E4350">
              <w:rPr>
                <w:rFonts w:cs="Arial"/>
                <w:color w:val="333333"/>
                <w:szCs w:val="22"/>
                <w:shd w:val="clear" w:color="auto" w:fill="FFFFFF"/>
              </w:rPr>
              <w:t xml:space="preserve">If you have a concern about a child or an </w:t>
            </w:r>
            <w:r w:rsidR="008C532E">
              <w:rPr>
                <w:rFonts w:cs="Arial"/>
                <w:color w:val="333333"/>
                <w:szCs w:val="22"/>
                <w:shd w:val="clear" w:color="auto" w:fill="FFFFFF"/>
              </w:rPr>
              <w:t>A</w:t>
            </w:r>
            <w:r w:rsidRPr="006E4350">
              <w:rPr>
                <w:rFonts w:cs="Arial"/>
                <w:color w:val="333333"/>
                <w:szCs w:val="22"/>
                <w:shd w:val="clear" w:color="auto" w:fill="FFFFFF"/>
              </w:rPr>
              <w:t xml:space="preserve">dult </w:t>
            </w:r>
            <w:r w:rsidR="008C532E">
              <w:rPr>
                <w:rFonts w:cs="Arial"/>
                <w:color w:val="333333"/>
                <w:szCs w:val="22"/>
                <w:shd w:val="clear" w:color="auto" w:fill="FFFFFF"/>
              </w:rPr>
              <w:t xml:space="preserve">at Risk </w:t>
            </w:r>
            <w:r w:rsidRPr="006E4350">
              <w:rPr>
                <w:rFonts w:cs="Arial"/>
                <w:color w:val="333333"/>
                <w:szCs w:val="22"/>
                <w:shd w:val="clear" w:color="auto" w:fill="FFFFFF"/>
              </w:rPr>
              <w:t xml:space="preserve">and </w:t>
            </w:r>
            <w:r w:rsidR="00FC332D">
              <w:rPr>
                <w:rFonts w:cs="Arial"/>
                <w:color w:val="333333"/>
                <w:szCs w:val="22"/>
                <w:shd w:val="clear" w:color="auto" w:fill="FFFFFF"/>
              </w:rPr>
              <w:t xml:space="preserve">have needed </w:t>
            </w:r>
            <w:r w:rsidRPr="006E4350">
              <w:rPr>
                <w:rFonts w:cs="Arial"/>
                <w:color w:val="333333"/>
                <w:szCs w:val="22"/>
                <w:shd w:val="clear" w:color="auto" w:fill="FFFFFF"/>
              </w:rPr>
              <w:t xml:space="preserve">need to make a safeguarding referral use the relevant </w:t>
            </w:r>
            <w:r w:rsidR="009838EB">
              <w:rPr>
                <w:rFonts w:cs="Arial"/>
                <w:color w:val="333333"/>
                <w:szCs w:val="22"/>
                <w:shd w:val="clear" w:color="auto" w:fill="FFFFFF"/>
              </w:rPr>
              <w:t>o</w:t>
            </w:r>
            <w:r w:rsidR="009838EB">
              <w:rPr>
                <w:color w:val="333333"/>
              </w:rPr>
              <w:t xml:space="preserve">nline </w:t>
            </w:r>
            <w:r w:rsidR="00FC332D">
              <w:rPr>
                <w:color w:val="333333"/>
              </w:rPr>
              <w:t xml:space="preserve">referral </w:t>
            </w:r>
            <w:hyperlink r:id="rId6" w:history="1">
              <w:r w:rsidR="00FC332D" w:rsidRPr="000E5796">
                <w:rPr>
                  <w:rStyle w:val="Hyperlink"/>
                </w:rPr>
                <w:t>https://children.gloucestershire.gov.uk/web/portal/pages/home</w:t>
              </w:r>
            </w:hyperlink>
            <w:r w:rsidR="00FC332D">
              <w:rPr>
                <w:color w:val="333333"/>
              </w:rPr>
              <w:t xml:space="preserve"> </w:t>
            </w:r>
          </w:p>
        </w:tc>
      </w:tr>
      <w:tr w:rsidR="00972805" w14:paraId="1D213FBC" w14:textId="77777777" w:rsidTr="00FC332D">
        <w:tc>
          <w:tcPr>
            <w:tcW w:w="5077" w:type="dxa"/>
            <w:tcBorders>
              <w:top w:val="single" w:sz="24" w:space="0" w:color="00B050"/>
              <w:left w:val="nil"/>
              <w:bottom w:val="triple" w:sz="6" w:space="0" w:color="767171" w:themeColor="background2" w:themeShade="80"/>
              <w:right w:val="nil"/>
            </w:tcBorders>
          </w:tcPr>
          <w:p w14:paraId="6E5EF106" w14:textId="77777777" w:rsidR="00972805" w:rsidRPr="006E4350" w:rsidRDefault="00972805" w:rsidP="005133B8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single" w:sz="24" w:space="0" w:color="00B050"/>
              <w:left w:val="nil"/>
              <w:bottom w:val="triple" w:sz="6" w:space="0" w:color="767171" w:themeColor="background2" w:themeShade="80"/>
              <w:right w:val="nil"/>
            </w:tcBorders>
          </w:tcPr>
          <w:p w14:paraId="4B517135" w14:textId="00755907" w:rsidR="00972805" w:rsidRPr="006E4350" w:rsidRDefault="00972805" w:rsidP="005133B8">
            <w:pPr>
              <w:rPr>
                <w:rFonts w:cs="Arial"/>
                <w:szCs w:val="22"/>
              </w:rPr>
            </w:pPr>
          </w:p>
        </w:tc>
        <w:tc>
          <w:tcPr>
            <w:tcW w:w="5045" w:type="dxa"/>
            <w:tcBorders>
              <w:top w:val="single" w:sz="24" w:space="0" w:color="00B050"/>
              <w:left w:val="nil"/>
              <w:bottom w:val="triple" w:sz="6" w:space="0" w:color="767171" w:themeColor="background2" w:themeShade="80"/>
              <w:right w:val="nil"/>
            </w:tcBorders>
          </w:tcPr>
          <w:p w14:paraId="0E70EC2D" w14:textId="77777777" w:rsidR="00972805" w:rsidRPr="006E4350" w:rsidRDefault="00972805" w:rsidP="005133B8">
            <w:pPr>
              <w:rPr>
                <w:rFonts w:cs="Arial"/>
                <w:szCs w:val="22"/>
              </w:rPr>
            </w:pPr>
          </w:p>
        </w:tc>
      </w:tr>
      <w:tr w:rsidR="007D2487" w14:paraId="06A25D82" w14:textId="77777777" w:rsidTr="00FC332D">
        <w:tc>
          <w:tcPr>
            <w:tcW w:w="10406" w:type="dxa"/>
            <w:gridSpan w:val="3"/>
            <w:tcBorders>
              <w:left w:val="triple" w:sz="6" w:space="0" w:color="767171" w:themeColor="background2" w:themeShade="80"/>
              <w:bottom w:val="triple" w:sz="6" w:space="0" w:color="767171" w:themeColor="background2" w:themeShade="80"/>
              <w:right w:val="triple" w:sz="6" w:space="0" w:color="767171" w:themeColor="background2" w:themeShade="80"/>
            </w:tcBorders>
          </w:tcPr>
          <w:p w14:paraId="15794F42" w14:textId="21487095" w:rsidR="007D2487" w:rsidRPr="006E4350" w:rsidRDefault="007D2487" w:rsidP="007D2487">
            <w:pPr>
              <w:jc w:val="center"/>
              <w:rPr>
                <w:rFonts w:cs="Arial"/>
                <w:b/>
                <w:szCs w:val="22"/>
              </w:rPr>
            </w:pPr>
            <w:r w:rsidRPr="006E4350">
              <w:rPr>
                <w:rFonts w:cs="Arial"/>
                <w:b/>
                <w:szCs w:val="22"/>
              </w:rPr>
              <w:t>Contact information</w:t>
            </w:r>
          </w:p>
          <w:p w14:paraId="2124F144" w14:textId="5A01793C" w:rsidR="007D2487" w:rsidRDefault="00FC332D" w:rsidP="007D2487">
            <w:pPr>
              <w:shd w:val="clear" w:color="auto" w:fill="FFFFFF"/>
              <w:textAlignment w:val="baseline"/>
              <w:rPr>
                <w:rFonts w:cs="Arial"/>
                <w:bCs/>
                <w:color w:val="333333"/>
                <w:szCs w:val="22"/>
                <w:lang w:eastAsia="en-GB"/>
              </w:rPr>
            </w:pPr>
            <w:r>
              <w:rPr>
                <w:rFonts w:cs="Arial"/>
                <w:bCs/>
                <w:color w:val="333333"/>
                <w:szCs w:val="22"/>
                <w:lang w:eastAsia="en-GB"/>
              </w:rPr>
              <w:t>Children and Families Front Door: 01452 426565</w:t>
            </w:r>
          </w:p>
          <w:p w14:paraId="3B1EDC7F" w14:textId="04E20CAF" w:rsidR="00FC332D" w:rsidRPr="006E4350" w:rsidRDefault="00FC332D" w:rsidP="007D2487">
            <w:pPr>
              <w:shd w:val="clear" w:color="auto" w:fill="FFFFFF"/>
              <w:textAlignment w:val="baseline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Adults Safeguarding: 01452 426868</w:t>
            </w:r>
          </w:p>
          <w:p w14:paraId="2C48D38B" w14:textId="0809371E" w:rsidR="007D2487" w:rsidRPr="006E4350" w:rsidRDefault="007D2487" w:rsidP="007D2487">
            <w:pPr>
              <w:shd w:val="clear" w:color="auto" w:fill="FFFFFF"/>
              <w:textAlignment w:val="baseline"/>
              <w:rPr>
                <w:rFonts w:cs="Arial"/>
                <w:b/>
                <w:color w:val="FF0000"/>
                <w:szCs w:val="22"/>
                <w:shd w:val="clear" w:color="auto" w:fill="FFFFFF"/>
              </w:rPr>
            </w:pPr>
            <w:r w:rsidRPr="006E4350">
              <w:rPr>
                <w:rFonts w:cs="Arial"/>
                <w:b/>
                <w:color w:val="FF0000"/>
                <w:szCs w:val="22"/>
                <w:shd w:val="clear" w:color="auto" w:fill="FFFFFF"/>
              </w:rPr>
              <w:t>Police: 999 if it is an emergency</w:t>
            </w:r>
          </w:p>
          <w:p w14:paraId="64942DD2" w14:textId="23AECCC6" w:rsidR="007D2487" w:rsidRPr="006E4350" w:rsidRDefault="007D2487" w:rsidP="007D2487">
            <w:pPr>
              <w:shd w:val="clear" w:color="auto" w:fill="FFFFFF"/>
              <w:textAlignment w:val="baseline"/>
              <w:rPr>
                <w:rFonts w:cs="Arial"/>
                <w:b/>
                <w:color w:val="FF0000"/>
                <w:szCs w:val="22"/>
                <w:shd w:val="clear" w:color="auto" w:fill="FFFFFF"/>
              </w:rPr>
            </w:pPr>
          </w:p>
          <w:p w14:paraId="26F10039" w14:textId="741FA7FA" w:rsidR="007D2487" w:rsidRPr="005D392C" w:rsidRDefault="007D2487" w:rsidP="005D392C">
            <w:pPr>
              <w:shd w:val="clear" w:color="auto" w:fill="FFFFFF"/>
              <w:textAlignment w:val="baseline"/>
              <w:rPr>
                <w:rFonts w:cs="Arial"/>
                <w:bCs/>
                <w:szCs w:val="22"/>
                <w:shd w:val="clear" w:color="auto" w:fill="FFFFFF"/>
              </w:rPr>
            </w:pPr>
            <w:r w:rsidRPr="006E4350">
              <w:rPr>
                <w:rFonts w:cs="Arial"/>
                <w:bCs/>
                <w:szCs w:val="22"/>
                <w:shd w:val="clear" w:color="auto" w:fill="FFFFFF"/>
              </w:rPr>
              <w:t>Safeguarding Trustee</w:t>
            </w:r>
            <w:r w:rsidR="00960A52">
              <w:rPr>
                <w:rFonts w:cs="Arial"/>
                <w:bCs/>
                <w:szCs w:val="22"/>
                <w:shd w:val="clear" w:color="auto" w:fill="FFFFFF"/>
              </w:rPr>
              <w:t xml:space="preserve">: </w:t>
            </w:r>
            <w:proofErr w:type="spellStart"/>
            <w:r w:rsidR="00960A52">
              <w:rPr>
                <w:bCs/>
              </w:rPr>
              <w:t>tel</w:t>
            </w:r>
            <w:proofErr w:type="spellEnd"/>
            <w:r w:rsidR="00FC332D">
              <w:rPr>
                <w:bCs/>
              </w:rPr>
              <w:t>: 07788 722372</w:t>
            </w:r>
            <w:r w:rsidR="00960A52">
              <w:rPr>
                <w:bCs/>
              </w:rPr>
              <w:t xml:space="preserve">                                     </w:t>
            </w:r>
            <w:proofErr w:type="gramStart"/>
            <w:r w:rsidR="00960A52">
              <w:rPr>
                <w:bCs/>
              </w:rPr>
              <w:t>email</w:t>
            </w:r>
            <w:proofErr w:type="gramEnd"/>
            <w:r w:rsidR="00960A52">
              <w:rPr>
                <w:bCs/>
              </w:rPr>
              <w:t>:</w:t>
            </w:r>
            <w:r w:rsidR="00FC332D">
              <w:rPr>
                <w:bCs/>
              </w:rPr>
              <w:t xml:space="preserve"> </w:t>
            </w:r>
            <w:hyperlink r:id="rId7" w:history="1">
              <w:r w:rsidR="00FC332D" w:rsidRPr="000E5796">
                <w:rPr>
                  <w:rStyle w:val="Hyperlink"/>
                  <w:bCs/>
                </w:rPr>
                <w:t>archiematthewstrust@gmail.com</w:t>
              </w:r>
            </w:hyperlink>
            <w:r w:rsidR="00FC332D">
              <w:rPr>
                <w:bCs/>
              </w:rPr>
              <w:t xml:space="preserve"> </w:t>
            </w:r>
          </w:p>
        </w:tc>
      </w:tr>
      <w:tr w:rsidR="007D2487" w14:paraId="5C4286D4" w14:textId="77777777" w:rsidTr="00FC332D">
        <w:tc>
          <w:tcPr>
            <w:tcW w:w="5077" w:type="dxa"/>
            <w:tcBorders>
              <w:top w:val="triple" w:sz="6" w:space="0" w:color="767171" w:themeColor="background2" w:themeShade="80"/>
              <w:left w:val="nil"/>
              <w:bottom w:val="thickThinLargeGap" w:sz="24" w:space="0" w:color="3B3838" w:themeColor="background2" w:themeShade="40"/>
              <w:right w:val="nil"/>
            </w:tcBorders>
          </w:tcPr>
          <w:p w14:paraId="741DA3C2" w14:textId="77777777" w:rsidR="007D2487" w:rsidRPr="006E4350" w:rsidRDefault="007D2487" w:rsidP="005133B8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triple" w:sz="6" w:space="0" w:color="767171" w:themeColor="background2" w:themeShade="80"/>
              <w:left w:val="nil"/>
              <w:bottom w:val="nil"/>
              <w:right w:val="nil"/>
            </w:tcBorders>
          </w:tcPr>
          <w:p w14:paraId="30204ABB" w14:textId="77777777" w:rsidR="007D2487" w:rsidRPr="006E4350" w:rsidRDefault="007D2487" w:rsidP="005133B8">
            <w:pPr>
              <w:rPr>
                <w:rFonts w:cs="Arial"/>
                <w:szCs w:val="22"/>
              </w:rPr>
            </w:pPr>
          </w:p>
        </w:tc>
        <w:tc>
          <w:tcPr>
            <w:tcW w:w="5045" w:type="dxa"/>
            <w:tcBorders>
              <w:top w:val="triple" w:sz="6" w:space="0" w:color="767171" w:themeColor="background2" w:themeShade="80"/>
              <w:left w:val="nil"/>
              <w:bottom w:val="thickThinLargeGap" w:sz="24" w:space="0" w:color="3B3838" w:themeColor="background2" w:themeShade="40"/>
              <w:right w:val="nil"/>
            </w:tcBorders>
          </w:tcPr>
          <w:p w14:paraId="61DFA825" w14:textId="77777777" w:rsidR="007D2487" w:rsidRPr="006E4350" w:rsidRDefault="007D2487" w:rsidP="005133B8">
            <w:pPr>
              <w:rPr>
                <w:rFonts w:cs="Arial"/>
                <w:szCs w:val="22"/>
              </w:rPr>
            </w:pPr>
          </w:p>
        </w:tc>
      </w:tr>
      <w:tr w:rsidR="007D2487" w14:paraId="7F3DFC69" w14:textId="77777777" w:rsidTr="00FC332D">
        <w:tc>
          <w:tcPr>
            <w:tcW w:w="5077" w:type="dxa"/>
            <w:tcBorders>
              <w:top w:val="thickThinLargeGap" w:sz="24" w:space="0" w:color="3B3838" w:themeColor="background2" w:themeShade="40"/>
              <w:left w:val="thickThinLargeGap" w:sz="24" w:space="0" w:color="3B3838" w:themeColor="background2" w:themeShade="40"/>
              <w:bottom w:val="single" w:sz="4" w:space="0" w:color="auto"/>
              <w:right w:val="thinThickLargeGap" w:sz="24" w:space="0" w:color="3B3838" w:themeColor="background2" w:themeShade="40"/>
            </w:tcBorders>
          </w:tcPr>
          <w:p w14:paraId="7C57E713" w14:textId="77777777" w:rsidR="00505AA1" w:rsidRDefault="00F739ED" w:rsidP="00F739ED">
            <w:pPr>
              <w:pStyle w:val="Heading9"/>
              <w:jc w:val="center"/>
              <w:rPr>
                <w:rFonts w:cs="Arial"/>
                <w:szCs w:val="22"/>
                <w:u w:val="none"/>
              </w:rPr>
            </w:pPr>
            <w:r w:rsidRPr="006E4350">
              <w:rPr>
                <w:rFonts w:cs="Arial"/>
                <w:szCs w:val="22"/>
                <w:u w:val="none"/>
              </w:rPr>
              <w:t>Notes:</w:t>
            </w:r>
            <w:r w:rsidR="00C21CEE" w:rsidRPr="006E4350">
              <w:rPr>
                <w:rFonts w:cs="Arial"/>
                <w:szCs w:val="22"/>
                <w:u w:val="none"/>
              </w:rPr>
              <w:t xml:space="preserve"> </w:t>
            </w:r>
          </w:p>
          <w:p w14:paraId="02659CA1" w14:textId="4201D9BD" w:rsidR="007D2487" w:rsidRPr="006E4350" w:rsidRDefault="00F739ED" w:rsidP="003857A8">
            <w:pPr>
              <w:pStyle w:val="Heading9"/>
              <w:jc w:val="center"/>
              <w:rPr>
                <w:rFonts w:cs="Arial"/>
                <w:szCs w:val="22"/>
              </w:rPr>
            </w:pPr>
            <w:r w:rsidRPr="006E4350">
              <w:rPr>
                <w:rFonts w:cs="Arial"/>
                <w:szCs w:val="22"/>
                <w:u w:val="none"/>
              </w:rPr>
              <w:t xml:space="preserve">reporting for CYP </w:t>
            </w:r>
          </w:p>
        </w:tc>
        <w:tc>
          <w:tcPr>
            <w:tcW w:w="284" w:type="dxa"/>
            <w:tcBorders>
              <w:top w:val="nil"/>
              <w:left w:val="thinThickLargeGap" w:sz="24" w:space="0" w:color="3B3838" w:themeColor="background2" w:themeShade="40"/>
              <w:bottom w:val="nil"/>
              <w:right w:val="thickThinLargeGap" w:sz="24" w:space="0" w:color="3B3838" w:themeColor="background2" w:themeShade="40"/>
            </w:tcBorders>
          </w:tcPr>
          <w:p w14:paraId="0F369001" w14:textId="77777777" w:rsidR="007D2487" w:rsidRPr="006E4350" w:rsidRDefault="007D2487" w:rsidP="005133B8">
            <w:pPr>
              <w:rPr>
                <w:rFonts w:cs="Arial"/>
                <w:szCs w:val="22"/>
              </w:rPr>
            </w:pPr>
          </w:p>
        </w:tc>
        <w:tc>
          <w:tcPr>
            <w:tcW w:w="5045" w:type="dxa"/>
            <w:tcBorders>
              <w:top w:val="thickThinLargeGap" w:sz="24" w:space="0" w:color="3B3838" w:themeColor="background2" w:themeShade="40"/>
              <w:left w:val="thickThinLargeGap" w:sz="24" w:space="0" w:color="3B3838" w:themeColor="background2" w:themeShade="40"/>
              <w:bottom w:val="single" w:sz="4" w:space="0" w:color="auto"/>
              <w:right w:val="thinThickLargeGap" w:sz="24" w:space="0" w:color="3B3838" w:themeColor="background2" w:themeShade="40"/>
            </w:tcBorders>
          </w:tcPr>
          <w:p w14:paraId="28254251" w14:textId="77777777" w:rsidR="00505AA1" w:rsidRDefault="00AE157E" w:rsidP="00AE157E">
            <w:pPr>
              <w:pStyle w:val="Heading9"/>
              <w:jc w:val="center"/>
              <w:rPr>
                <w:rFonts w:cs="Arial"/>
                <w:szCs w:val="22"/>
                <w:u w:val="none"/>
              </w:rPr>
            </w:pPr>
            <w:r w:rsidRPr="006E4350">
              <w:rPr>
                <w:rFonts w:cs="Arial"/>
                <w:szCs w:val="22"/>
                <w:u w:val="none"/>
              </w:rPr>
              <w:t xml:space="preserve">Notes: </w:t>
            </w:r>
          </w:p>
          <w:p w14:paraId="3B3F1CBB" w14:textId="3768D51D" w:rsidR="007D2487" w:rsidRPr="006E4350" w:rsidRDefault="00AE157E" w:rsidP="003857A8">
            <w:pPr>
              <w:pStyle w:val="Heading9"/>
              <w:jc w:val="center"/>
              <w:rPr>
                <w:rFonts w:cs="Arial"/>
                <w:szCs w:val="22"/>
              </w:rPr>
            </w:pPr>
            <w:r w:rsidRPr="006E4350">
              <w:rPr>
                <w:rFonts w:cs="Arial"/>
                <w:szCs w:val="22"/>
                <w:u w:val="none"/>
              </w:rPr>
              <w:t>reporting for Adults at Risk</w:t>
            </w:r>
          </w:p>
        </w:tc>
      </w:tr>
      <w:tr w:rsidR="00C21CEE" w14:paraId="369E8F34" w14:textId="77777777" w:rsidTr="00FC332D">
        <w:tc>
          <w:tcPr>
            <w:tcW w:w="5077" w:type="dxa"/>
            <w:tcBorders>
              <w:left w:val="thickThinLargeGap" w:sz="24" w:space="0" w:color="3B3838" w:themeColor="background2" w:themeShade="40"/>
              <w:bottom w:val="thinThickLargeGap" w:sz="24" w:space="0" w:color="3B3838" w:themeColor="background2" w:themeShade="40"/>
              <w:right w:val="thinThickLargeGap" w:sz="24" w:space="0" w:color="3B3838" w:themeColor="background2" w:themeShade="40"/>
            </w:tcBorders>
          </w:tcPr>
          <w:p w14:paraId="55F8E2C8" w14:textId="70868816" w:rsidR="00C21CEE" w:rsidRPr="006E4350" w:rsidRDefault="00C21CEE" w:rsidP="00A16889">
            <w:pPr>
              <w:pStyle w:val="Heading9"/>
              <w:numPr>
                <w:ilvl w:val="0"/>
                <w:numId w:val="2"/>
              </w:numPr>
              <w:jc w:val="left"/>
              <w:rPr>
                <w:rFonts w:cs="Arial"/>
                <w:b w:val="0"/>
                <w:szCs w:val="22"/>
                <w:u w:val="none"/>
              </w:rPr>
            </w:pPr>
            <w:r w:rsidRPr="006E4350">
              <w:rPr>
                <w:rFonts w:cs="Arial"/>
                <w:b w:val="0"/>
                <w:szCs w:val="22"/>
                <w:u w:val="none"/>
              </w:rPr>
              <w:t xml:space="preserve">Parents/ carers should be advised that you are making a referral unless this might put the child at risk or cause any delay in </w:t>
            </w:r>
            <w:proofErr w:type="gramStart"/>
            <w:r w:rsidRPr="006E4350">
              <w:rPr>
                <w:rFonts w:cs="Arial"/>
                <w:b w:val="0"/>
                <w:szCs w:val="22"/>
                <w:u w:val="none"/>
              </w:rPr>
              <w:t>referring</w:t>
            </w:r>
            <w:proofErr w:type="gramEnd"/>
          </w:p>
          <w:p w14:paraId="4EB1B61C" w14:textId="77777777" w:rsidR="006E4350" w:rsidRPr="006E4350" w:rsidRDefault="00A16889" w:rsidP="00A16889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2"/>
              </w:rPr>
            </w:pPr>
            <w:r w:rsidRPr="006E4350">
              <w:rPr>
                <w:rFonts w:cs="Arial"/>
                <w:b/>
                <w:bCs/>
                <w:color w:val="333333"/>
                <w:szCs w:val="22"/>
                <w:shd w:val="clear" w:color="auto" w:fill="FFFFFF"/>
              </w:rPr>
              <w:t>Local Authority Designated Officer (LADO) Referrals</w:t>
            </w:r>
            <w:r w:rsidR="006E4350" w:rsidRPr="006E4350">
              <w:rPr>
                <w:rFonts w:cs="Arial"/>
                <w:b/>
                <w:bCs/>
                <w:color w:val="333333"/>
                <w:szCs w:val="22"/>
                <w:shd w:val="clear" w:color="auto" w:fill="FFFFFF"/>
              </w:rPr>
              <w:t xml:space="preserve"> </w:t>
            </w:r>
          </w:p>
          <w:p w14:paraId="2AC81351" w14:textId="32D6C626" w:rsidR="00302318" w:rsidRPr="006E4350" w:rsidRDefault="00A16889" w:rsidP="003857A8">
            <w:pPr>
              <w:ind w:left="360"/>
              <w:rPr>
                <w:rFonts w:cs="Arial"/>
                <w:szCs w:val="22"/>
              </w:rPr>
            </w:pPr>
            <w:r w:rsidRPr="006E4350">
              <w:rPr>
                <w:rFonts w:cs="Arial"/>
                <w:color w:val="333333"/>
                <w:szCs w:val="22"/>
                <w:shd w:val="clear" w:color="auto" w:fill="FFFFFF"/>
              </w:rPr>
              <w:t>If you have concerns about an adult working with a child under the age of 18 that you would like to report, </w:t>
            </w:r>
            <w:r w:rsidRPr="00FC332D">
              <w:rPr>
                <w:rFonts w:cs="Arial"/>
                <w:szCs w:val="22"/>
                <w:shd w:val="clear" w:color="auto" w:fill="FFFFFF"/>
              </w:rPr>
              <w:t> access the LADO page for more information</w:t>
            </w:r>
            <w:r w:rsidR="005D392C">
              <w:rPr>
                <w:rFonts w:cs="Arial"/>
                <w:szCs w:val="22"/>
                <w:shd w:val="clear" w:color="auto" w:fill="FFFFFF"/>
              </w:rPr>
              <w:t xml:space="preserve"> </w:t>
            </w:r>
            <w:hyperlink r:id="rId8" w:history="1">
              <w:r w:rsidR="005D392C" w:rsidRPr="000E5796">
                <w:rPr>
                  <w:rStyle w:val="Hyperlink"/>
                  <w:rFonts w:cs="Arial"/>
                  <w:szCs w:val="22"/>
                  <w:shd w:val="clear" w:color="auto" w:fill="FFFFFF"/>
                </w:rPr>
                <w:t>https://www.gloucestershire.gov.uk/health-and-social-care/children-young-people-and-families/lado-allegations/</w:t>
              </w:r>
            </w:hyperlink>
            <w:r w:rsidR="005D392C">
              <w:rPr>
                <w:rFonts w:cs="Arial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thinThickLargeGap" w:sz="24" w:space="0" w:color="3B3838" w:themeColor="background2" w:themeShade="40"/>
              <w:bottom w:val="nil"/>
              <w:right w:val="thickThinLargeGap" w:sz="24" w:space="0" w:color="3B3838" w:themeColor="background2" w:themeShade="40"/>
            </w:tcBorders>
          </w:tcPr>
          <w:p w14:paraId="5899E65D" w14:textId="77777777" w:rsidR="00C21CEE" w:rsidRPr="006E4350" w:rsidRDefault="00C21CEE" w:rsidP="005133B8">
            <w:pPr>
              <w:rPr>
                <w:rFonts w:cs="Arial"/>
                <w:szCs w:val="22"/>
              </w:rPr>
            </w:pPr>
          </w:p>
        </w:tc>
        <w:tc>
          <w:tcPr>
            <w:tcW w:w="5045" w:type="dxa"/>
            <w:tcBorders>
              <w:left w:val="thickThinLargeGap" w:sz="24" w:space="0" w:color="3B3838" w:themeColor="background2" w:themeShade="40"/>
              <w:bottom w:val="thinThickLargeGap" w:sz="24" w:space="0" w:color="3B3838" w:themeColor="background2" w:themeShade="40"/>
              <w:right w:val="thinThickLargeGap" w:sz="24" w:space="0" w:color="3B3838" w:themeColor="background2" w:themeShade="40"/>
            </w:tcBorders>
          </w:tcPr>
          <w:p w14:paraId="574E11E9" w14:textId="77777777" w:rsidR="00AE157E" w:rsidRPr="006E4350" w:rsidRDefault="00AE157E" w:rsidP="00AE157E">
            <w:pPr>
              <w:pStyle w:val="Heading9"/>
              <w:ind w:left="0"/>
              <w:jc w:val="left"/>
              <w:rPr>
                <w:rFonts w:cs="Arial"/>
                <w:b w:val="0"/>
                <w:szCs w:val="22"/>
                <w:u w:val="none"/>
              </w:rPr>
            </w:pPr>
            <w:r w:rsidRPr="006E4350">
              <w:rPr>
                <w:rFonts w:cs="Arial"/>
                <w:b w:val="0"/>
                <w:szCs w:val="22"/>
                <w:u w:val="none"/>
              </w:rPr>
              <w:t xml:space="preserve">It is essential that wherever possible it is the adult at risk who will decide on the chosen course of action, </w:t>
            </w:r>
            <w:proofErr w:type="gramStart"/>
            <w:r w:rsidRPr="006E4350">
              <w:rPr>
                <w:rFonts w:cs="Arial"/>
                <w:b w:val="0"/>
                <w:szCs w:val="22"/>
                <w:u w:val="none"/>
              </w:rPr>
              <w:t>taking into account</w:t>
            </w:r>
            <w:proofErr w:type="gramEnd"/>
            <w:r w:rsidRPr="006E4350">
              <w:rPr>
                <w:rFonts w:cs="Arial"/>
                <w:b w:val="0"/>
                <w:szCs w:val="22"/>
                <w:u w:val="none"/>
              </w:rPr>
              <w:t xml:space="preserve"> the impact of the adult at risk’s mental capacity where relevant. </w:t>
            </w:r>
          </w:p>
          <w:p w14:paraId="6911F1C8" w14:textId="77777777" w:rsidR="00AE157E" w:rsidRPr="006E4350" w:rsidRDefault="00AE157E" w:rsidP="00AE157E">
            <w:pPr>
              <w:rPr>
                <w:rFonts w:cs="Arial"/>
                <w:szCs w:val="22"/>
              </w:rPr>
            </w:pPr>
          </w:p>
          <w:p w14:paraId="232752C2" w14:textId="70757333" w:rsidR="00C21CEE" w:rsidRPr="006E4350" w:rsidRDefault="00AE157E" w:rsidP="00AE157E">
            <w:pPr>
              <w:rPr>
                <w:rFonts w:cs="Arial"/>
                <w:szCs w:val="22"/>
              </w:rPr>
            </w:pPr>
            <w:r w:rsidRPr="006E4350">
              <w:rPr>
                <w:rFonts w:cs="Arial"/>
                <w:szCs w:val="22"/>
              </w:rPr>
              <w:t>However, the people and organisations caring for, or assisting them, must do everything they can to identify and prevent abuse happening wherever possible and evidence their efforts</w:t>
            </w:r>
          </w:p>
        </w:tc>
      </w:tr>
    </w:tbl>
    <w:p w14:paraId="2264F86F" w14:textId="77777777" w:rsidR="005D392C" w:rsidRDefault="005D392C"/>
    <w:sectPr w:rsidR="00747C1C" w:rsidSect="00513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66D1"/>
    <w:multiLevelType w:val="hybridMultilevel"/>
    <w:tmpl w:val="7112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1ED"/>
    <w:multiLevelType w:val="hybridMultilevel"/>
    <w:tmpl w:val="B944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A315C"/>
    <w:multiLevelType w:val="hybridMultilevel"/>
    <w:tmpl w:val="D47AD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48A"/>
    <w:multiLevelType w:val="hybridMultilevel"/>
    <w:tmpl w:val="DE2E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196B"/>
    <w:multiLevelType w:val="hybridMultilevel"/>
    <w:tmpl w:val="B26EB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215706">
    <w:abstractNumId w:val="2"/>
  </w:num>
  <w:num w:numId="2" w16cid:durableId="1919123353">
    <w:abstractNumId w:val="4"/>
  </w:num>
  <w:num w:numId="3" w16cid:durableId="519779775">
    <w:abstractNumId w:val="0"/>
  </w:num>
  <w:num w:numId="4" w16cid:durableId="1030761579">
    <w:abstractNumId w:val="3"/>
  </w:num>
  <w:num w:numId="5" w16cid:durableId="70224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B8"/>
    <w:rsid w:val="00001507"/>
    <w:rsid w:val="000741EC"/>
    <w:rsid w:val="00076ECC"/>
    <w:rsid w:val="000D1963"/>
    <w:rsid w:val="000F3A42"/>
    <w:rsid w:val="00110477"/>
    <w:rsid w:val="001C55E4"/>
    <w:rsid w:val="00224B7A"/>
    <w:rsid w:val="00237DD0"/>
    <w:rsid w:val="0024497D"/>
    <w:rsid w:val="002A0C69"/>
    <w:rsid w:val="002D29B5"/>
    <w:rsid w:val="002F6F1B"/>
    <w:rsid w:val="00302318"/>
    <w:rsid w:val="003250BA"/>
    <w:rsid w:val="003645A1"/>
    <w:rsid w:val="00383316"/>
    <w:rsid w:val="003857A8"/>
    <w:rsid w:val="004468E3"/>
    <w:rsid w:val="00471ED8"/>
    <w:rsid w:val="00505AA1"/>
    <w:rsid w:val="005133B8"/>
    <w:rsid w:val="005312B4"/>
    <w:rsid w:val="005D392C"/>
    <w:rsid w:val="00634C54"/>
    <w:rsid w:val="00670FD5"/>
    <w:rsid w:val="00671B75"/>
    <w:rsid w:val="006E4350"/>
    <w:rsid w:val="007457D7"/>
    <w:rsid w:val="00765419"/>
    <w:rsid w:val="00777C8A"/>
    <w:rsid w:val="007D2487"/>
    <w:rsid w:val="007E757C"/>
    <w:rsid w:val="00883596"/>
    <w:rsid w:val="008B2B66"/>
    <w:rsid w:val="008C532E"/>
    <w:rsid w:val="00960A52"/>
    <w:rsid w:val="00972805"/>
    <w:rsid w:val="009838EB"/>
    <w:rsid w:val="00A16889"/>
    <w:rsid w:val="00A30904"/>
    <w:rsid w:val="00AB0E00"/>
    <w:rsid w:val="00AE157E"/>
    <w:rsid w:val="00B07F79"/>
    <w:rsid w:val="00B55827"/>
    <w:rsid w:val="00BA1D73"/>
    <w:rsid w:val="00BA7D20"/>
    <w:rsid w:val="00BD5E7E"/>
    <w:rsid w:val="00BE1BD1"/>
    <w:rsid w:val="00C21CEE"/>
    <w:rsid w:val="00C84C6B"/>
    <w:rsid w:val="00CF45D1"/>
    <w:rsid w:val="00CF5FF6"/>
    <w:rsid w:val="00D607C7"/>
    <w:rsid w:val="00D80B39"/>
    <w:rsid w:val="00D95D47"/>
    <w:rsid w:val="00DD2A20"/>
    <w:rsid w:val="00E51DCC"/>
    <w:rsid w:val="00EF0788"/>
    <w:rsid w:val="00F25184"/>
    <w:rsid w:val="00F55BA5"/>
    <w:rsid w:val="00F575C7"/>
    <w:rsid w:val="00F630E2"/>
    <w:rsid w:val="00F739ED"/>
    <w:rsid w:val="00FC332D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F8AB"/>
  <w15:chartTrackingRefBased/>
  <w15:docId w15:val="{2A7F3FC5-8F62-4A68-A7D2-602EAA0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B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133B8"/>
    <w:pPr>
      <w:keepNext/>
      <w:spacing w:after="240"/>
      <w:jc w:val="center"/>
      <w:outlineLvl w:val="0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5133B8"/>
    <w:pPr>
      <w:keepNext/>
      <w:tabs>
        <w:tab w:val="right" w:pos="9072"/>
      </w:tabs>
      <w:ind w:left="-567"/>
      <w:jc w:val="both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3B8"/>
    <w:rPr>
      <w:rFonts w:ascii="Arial" w:eastAsia="Times New Roman" w:hAnsi="Arial" w:cs="Times New Roman"/>
      <w:b/>
      <w:caps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5133B8"/>
    <w:rPr>
      <w:rFonts w:ascii="Arial" w:eastAsia="Times New Roman" w:hAnsi="Arial" w:cs="Times New Roman"/>
      <w:b/>
      <w:bCs/>
      <w:szCs w:val="20"/>
      <w:u w:val="single"/>
    </w:rPr>
  </w:style>
  <w:style w:type="table" w:styleId="TableGrid">
    <w:name w:val="Table Grid"/>
    <w:basedOn w:val="TableNormal"/>
    <w:uiPriority w:val="39"/>
    <w:rsid w:val="0097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5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ucestershire.gov.uk/health-and-social-care/children-young-people-and-families/lado-alleg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ematthewstru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ren.gloucestershire.gov.uk/web/portal/pages/home" TargetMode="External"/><Relationship Id="rId5" Type="http://schemas.openxmlformats.org/officeDocument/2006/relationships/hyperlink" Target="https://www.gloucestershire.gov.uk/health-and-social-care/children-young-people-and-families/report-a-child-at-ris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Wilkinson</dc:creator>
  <cp:keywords/>
  <dc:description/>
  <cp:lastModifiedBy>Head</cp:lastModifiedBy>
  <cp:revision>2</cp:revision>
  <dcterms:created xsi:type="dcterms:W3CDTF">2024-11-13T15:24:00Z</dcterms:created>
  <dcterms:modified xsi:type="dcterms:W3CDTF">2024-11-13T15:24:00Z</dcterms:modified>
</cp:coreProperties>
</file>